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0CDC" w14:textId="77777777" w:rsidR="003277B2" w:rsidRDefault="004C0831" w:rsidP="000F25CA">
      <w:pPr>
        <w:spacing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14:paraId="585418F2" w14:textId="77777777" w:rsidR="003277B2" w:rsidRDefault="00567098" w:rsidP="000F25CA">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 Medicaid</w:t>
      </w:r>
      <w:r w:rsidR="003277B2">
        <w:rPr>
          <w:rFonts w:ascii="Arial" w:eastAsia="Times New Roman" w:hAnsi="Arial" w:cs="Arial"/>
          <w:b/>
          <w:bCs/>
          <w:sz w:val="36"/>
          <w:szCs w:val="36"/>
        </w:rPr>
        <w:t>- All</w:t>
      </w:r>
    </w:p>
    <w:p w14:paraId="536AC760" w14:textId="433764D9" w:rsidR="003277B2" w:rsidRDefault="003277B2" w:rsidP="000F25CA">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PMA-19203-33</w:t>
      </w:r>
      <w:bookmarkStart w:id="0" w:name="_GoBack"/>
      <w:bookmarkEnd w:id="0"/>
      <w:r>
        <w:rPr>
          <w:rFonts w:ascii="Arial" w:eastAsia="Times New Roman" w:hAnsi="Arial" w:cs="Arial"/>
          <w:b/>
          <w:bCs/>
          <w:sz w:val="36"/>
          <w:szCs w:val="36"/>
        </w:rPr>
        <w:t>9</w:t>
      </w:r>
    </w:p>
    <w:p w14:paraId="57CBA41B" w14:textId="20681142" w:rsidR="004C0831" w:rsidRDefault="004C0831" w:rsidP="000F25CA">
      <w:pPr>
        <w:spacing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14:paraId="226D5913" w14:textId="77777777" w:rsidR="003277B2" w:rsidRDefault="003277B2" w:rsidP="000F25CA">
      <w:pPr>
        <w:spacing w:after="0" w:line="240" w:lineRule="auto"/>
        <w:outlineLvl w:val="1"/>
        <w:rPr>
          <w:rFonts w:ascii="Arial" w:eastAsia="Times New Roman" w:hAnsi="Arial" w:cs="Arial"/>
          <w:b/>
          <w:bCs/>
          <w:sz w:val="24"/>
          <w:szCs w:val="24"/>
        </w:rPr>
      </w:pPr>
    </w:p>
    <w:p w14:paraId="17720DA2" w14:textId="092D1AE4" w:rsidR="004C0831" w:rsidRDefault="004C0831" w:rsidP="000F25CA">
      <w:pPr>
        <w:spacing w:after="0" w:line="240" w:lineRule="auto"/>
        <w:outlineLvl w:val="1"/>
        <w:rPr>
          <w:rFonts w:ascii="Arial" w:eastAsia="Times New Roman" w:hAnsi="Arial" w:cs="Arial"/>
          <w:b/>
          <w:bCs/>
          <w:sz w:val="24"/>
          <w:szCs w:val="24"/>
        </w:rPr>
      </w:pPr>
      <w:r w:rsidRPr="004910BE">
        <w:rPr>
          <w:rFonts w:ascii="Arial" w:eastAsia="Times New Roman" w:hAnsi="Arial" w:cs="Arial"/>
          <w:b/>
          <w:bCs/>
          <w:sz w:val="24"/>
          <w:szCs w:val="24"/>
        </w:rPr>
        <w:t>Submitted:</w:t>
      </w:r>
      <w:r w:rsidRPr="004910BE">
        <w:rPr>
          <w:rFonts w:ascii="Arial" w:eastAsia="Times New Roman" w:hAnsi="Arial" w:cs="Arial"/>
          <w:b/>
          <w:bCs/>
          <w:sz w:val="24"/>
          <w:szCs w:val="24"/>
        </w:rPr>
        <w:tab/>
      </w:r>
      <w:r w:rsidR="003277B2">
        <w:rPr>
          <w:rFonts w:ascii="Arial" w:eastAsia="Times New Roman" w:hAnsi="Arial" w:cs="Arial"/>
          <w:b/>
          <w:bCs/>
          <w:sz w:val="24"/>
          <w:szCs w:val="24"/>
        </w:rPr>
        <w:t>12/19/18</w:t>
      </w:r>
      <w:r w:rsidRPr="004910BE">
        <w:rPr>
          <w:rFonts w:ascii="Arial" w:eastAsia="Times New Roman" w:hAnsi="Arial" w:cs="Arial"/>
          <w:b/>
          <w:bCs/>
          <w:sz w:val="24"/>
          <w:szCs w:val="24"/>
        </w:rPr>
        <w:tab/>
      </w:r>
      <w:r w:rsidRPr="004910BE">
        <w:rPr>
          <w:rFonts w:ascii="Arial" w:eastAsia="Times New Roman" w:hAnsi="Arial" w:cs="Arial"/>
          <w:b/>
          <w:bCs/>
          <w:sz w:val="24"/>
          <w:szCs w:val="24"/>
        </w:rPr>
        <w:tab/>
      </w:r>
      <w:r w:rsidR="000F25CA">
        <w:rPr>
          <w:rFonts w:ascii="Arial" w:eastAsia="Times New Roman" w:hAnsi="Arial" w:cs="Arial"/>
          <w:b/>
          <w:bCs/>
          <w:sz w:val="24"/>
          <w:szCs w:val="24"/>
        </w:rPr>
        <w:tab/>
      </w:r>
      <w:r w:rsidRPr="004910BE">
        <w:rPr>
          <w:rFonts w:ascii="Arial" w:eastAsia="Times New Roman" w:hAnsi="Arial" w:cs="Arial"/>
          <w:b/>
          <w:bCs/>
          <w:sz w:val="24"/>
          <w:szCs w:val="24"/>
        </w:rPr>
        <w:t xml:space="preserve">Agency: </w:t>
      </w:r>
      <w:r w:rsidR="00FA23B6">
        <w:rPr>
          <w:rFonts w:ascii="Arial" w:eastAsia="Times New Roman" w:hAnsi="Arial" w:cs="Arial"/>
          <w:b/>
          <w:bCs/>
          <w:sz w:val="24"/>
          <w:szCs w:val="24"/>
        </w:rPr>
        <w:t xml:space="preserve"> </w:t>
      </w:r>
      <w:r w:rsidRPr="004910BE">
        <w:rPr>
          <w:rFonts w:ascii="Arial" w:eastAsia="Times New Roman" w:hAnsi="Arial" w:cs="Arial"/>
          <w:b/>
          <w:bCs/>
          <w:sz w:val="24"/>
          <w:szCs w:val="24"/>
        </w:rPr>
        <w:t>CAOs</w:t>
      </w:r>
      <w:r w:rsidRPr="004910BE">
        <w:rPr>
          <w:rFonts w:ascii="Arial" w:eastAsia="Times New Roman" w:hAnsi="Arial" w:cs="Arial"/>
          <w:b/>
          <w:bCs/>
          <w:sz w:val="24"/>
          <w:szCs w:val="24"/>
        </w:rPr>
        <w:tab/>
      </w:r>
    </w:p>
    <w:p w14:paraId="6C63E6BE" w14:textId="77777777" w:rsidR="000F25CA" w:rsidRPr="004910BE" w:rsidRDefault="000F25CA" w:rsidP="000F25CA">
      <w:pPr>
        <w:spacing w:after="0" w:line="240" w:lineRule="auto"/>
        <w:outlineLvl w:val="1"/>
        <w:rPr>
          <w:rFonts w:ascii="Arial" w:eastAsia="Times New Roman" w:hAnsi="Arial" w:cs="Arial"/>
          <w:b/>
          <w:bCs/>
          <w:sz w:val="24"/>
          <w:szCs w:val="24"/>
        </w:rPr>
      </w:pPr>
    </w:p>
    <w:p w14:paraId="4367B396" w14:textId="7ACC0622" w:rsidR="004C0831" w:rsidRPr="000F25CA" w:rsidRDefault="004C0831" w:rsidP="000F25CA">
      <w:pPr>
        <w:spacing w:after="0" w:line="240" w:lineRule="auto"/>
        <w:outlineLvl w:val="1"/>
        <w:rPr>
          <w:rFonts w:ascii="Arial" w:hAnsi="Arial" w:cs="Arial"/>
          <w:sz w:val="24"/>
          <w:szCs w:val="24"/>
        </w:rPr>
      </w:pPr>
      <w:r w:rsidRPr="004910BE">
        <w:rPr>
          <w:rFonts w:ascii="Arial" w:eastAsia="Times New Roman" w:hAnsi="Arial" w:cs="Arial"/>
          <w:b/>
          <w:bCs/>
          <w:sz w:val="24"/>
          <w:szCs w:val="24"/>
        </w:rPr>
        <w:t>Subject:</w:t>
      </w:r>
      <w:r w:rsidR="000F25CA">
        <w:rPr>
          <w:rFonts w:ascii="Arial" w:eastAsia="Times New Roman" w:hAnsi="Arial" w:cs="Arial"/>
          <w:b/>
          <w:bCs/>
          <w:sz w:val="24"/>
          <w:szCs w:val="24"/>
        </w:rPr>
        <w:t xml:space="preserve"> </w:t>
      </w:r>
      <w:r w:rsidR="00A7775E" w:rsidRPr="004910BE">
        <w:rPr>
          <w:rFonts w:ascii="Arial" w:eastAsia="Times New Roman" w:hAnsi="Arial" w:cs="Arial"/>
          <w:b/>
          <w:bCs/>
          <w:sz w:val="24"/>
          <w:szCs w:val="24"/>
        </w:rPr>
        <w:t xml:space="preserve"> </w:t>
      </w:r>
      <w:r w:rsidR="005B470D">
        <w:rPr>
          <w:rFonts w:ascii="Arial" w:hAnsi="Arial" w:cs="Arial"/>
          <w:b/>
          <w:sz w:val="24"/>
          <w:szCs w:val="24"/>
        </w:rPr>
        <w:t xml:space="preserve">Eligibility for Transitional Medical Assistance (TMA) after Closure for Failure to </w:t>
      </w:r>
      <w:r w:rsidR="00A755C5">
        <w:rPr>
          <w:rFonts w:ascii="Arial" w:hAnsi="Arial" w:cs="Arial"/>
          <w:b/>
          <w:sz w:val="24"/>
          <w:szCs w:val="24"/>
        </w:rPr>
        <w:t>Provide Information</w:t>
      </w:r>
      <w:r w:rsidR="005B470D">
        <w:rPr>
          <w:rFonts w:ascii="Arial" w:hAnsi="Arial" w:cs="Arial"/>
          <w:b/>
          <w:sz w:val="24"/>
          <w:szCs w:val="24"/>
        </w:rPr>
        <w:t xml:space="preserve"> (Reason Code 042)</w:t>
      </w:r>
    </w:p>
    <w:p w14:paraId="46F3AD98" w14:textId="77777777" w:rsidR="000F25CA" w:rsidRPr="004910BE" w:rsidRDefault="000F25CA" w:rsidP="000F25CA">
      <w:pPr>
        <w:spacing w:after="0" w:line="240" w:lineRule="auto"/>
        <w:outlineLvl w:val="1"/>
        <w:rPr>
          <w:rFonts w:ascii="Arial" w:eastAsia="Times New Roman" w:hAnsi="Arial" w:cs="Arial"/>
          <w:b/>
          <w:bCs/>
          <w:sz w:val="24"/>
          <w:szCs w:val="24"/>
        </w:rPr>
      </w:pPr>
    </w:p>
    <w:p w14:paraId="7C614D8B" w14:textId="57984F75" w:rsidR="00567098" w:rsidRPr="000F25CA" w:rsidRDefault="004C0831" w:rsidP="000F25CA">
      <w:pPr>
        <w:spacing w:after="0" w:line="240" w:lineRule="auto"/>
        <w:rPr>
          <w:rFonts w:ascii="Arial" w:hAnsi="Arial" w:cs="Arial"/>
          <w:sz w:val="20"/>
          <w:szCs w:val="20"/>
        </w:rPr>
      </w:pPr>
      <w:r w:rsidRPr="000F25CA">
        <w:rPr>
          <w:rFonts w:ascii="Arial" w:hAnsi="Arial" w:cs="Arial"/>
          <w:b/>
          <w:sz w:val="20"/>
          <w:szCs w:val="20"/>
        </w:rPr>
        <w:t>Question</w:t>
      </w:r>
      <w:r w:rsidRPr="000F25CA">
        <w:rPr>
          <w:rFonts w:ascii="Arial" w:hAnsi="Arial" w:cs="Arial"/>
          <w:sz w:val="20"/>
          <w:szCs w:val="20"/>
        </w:rPr>
        <w:t>:</w:t>
      </w:r>
      <w:r w:rsidR="00A7775E" w:rsidRPr="000F25CA">
        <w:rPr>
          <w:rFonts w:ascii="Arial" w:hAnsi="Arial" w:cs="Arial"/>
          <w:sz w:val="20"/>
          <w:szCs w:val="20"/>
        </w:rPr>
        <w:t xml:space="preserve">  </w:t>
      </w:r>
      <w:r w:rsidR="005B470D">
        <w:rPr>
          <w:rFonts w:ascii="Arial" w:hAnsi="Arial" w:cs="Arial"/>
          <w:sz w:val="20"/>
          <w:szCs w:val="20"/>
        </w:rPr>
        <w:t xml:space="preserve">Are individuals eligible for TMA if they were closed for failure to </w:t>
      </w:r>
      <w:r w:rsidR="00A755C5">
        <w:rPr>
          <w:rFonts w:ascii="Arial" w:hAnsi="Arial" w:cs="Arial"/>
          <w:sz w:val="20"/>
          <w:szCs w:val="20"/>
        </w:rPr>
        <w:t>provide information</w:t>
      </w:r>
      <w:r w:rsidR="005B470D">
        <w:rPr>
          <w:rFonts w:ascii="Arial" w:hAnsi="Arial" w:cs="Arial"/>
          <w:sz w:val="20"/>
          <w:szCs w:val="20"/>
        </w:rPr>
        <w:t xml:space="preserve"> (reason code 042)?</w:t>
      </w:r>
    </w:p>
    <w:p w14:paraId="3BE8B559" w14:textId="77777777" w:rsidR="004C0831" w:rsidRPr="000F25CA" w:rsidRDefault="003277B2" w:rsidP="000F25CA">
      <w:pPr>
        <w:spacing w:after="0" w:line="240" w:lineRule="auto"/>
        <w:rPr>
          <w:rFonts w:ascii="Arial" w:eastAsia="Times New Roman" w:hAnsi="Arial" w:cs="Arial"/>
          <w:sz w:val="20"/>
          <w:szCs w:val="20"/>
        </w:rPr>
      </w:pPr>
      <w:r>
        <w:rPr>
          <w:rFonts w:ascii="Arial" w:eastAsia="Times New Roman" w:hAnsi="Arial" w:cs="Arial"/>
          <w:sz w:val="20"/>
          <w:szCs w:val="20"/>
        </w:rPr>
        <w:pict w14:anchorId="2A3A3335">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0"/>
        <w:gridCol w:w="100"/>
      </w:tblGrid>
      <w:tr w:rsidR="00A7775E" w:rsidRPr="000F25CA" w14:paraId="7DA119FA" w14:textId="77777777" w:rsidTr="00F271D3">
        <w:trPr>
          <w:tblCellSpacing w:w="15" w:type="dxa"/>
        </w:trPr>
        <w:tc>
          <w:tcPr>
            <w:tcW w:w="0" w:type="auto"/>
            <w:vAlign w:val="center"/>
            <w:hideMark/>
          </w:tcPr>
          <w:p w14:paraId="6981E7E1" w14:textId="7FC8BCD3" w:rsidR="004C0831" w:rsidRPr="000F25CA" w:rsidRDefault="004C0831" w:rsidP="000F25CA">
            <w:pPr>
              <w:spacing w:after="0" w:line="240" w:lineRule="auto"/>
              <w:rPr>
                <w:rFonts w:ascii="Arial" w:eastAsia="Times New Roman" w:hAnsi="Arial" w:cs="Arial"/>
                <w:sz w:val="20"/>
                <w:szCs w:val="20"/>
              </w:rPr>
            </w:pPr>
            <w:r w:rsidRPr="000F25CA">
              <w:rPr>
                <w:rFonts w:ascii="Arial" w:eastAsia="Times New Roman" w:hAnsi="Arial" w:cs="Arial"/>
                <w:b/>
                <w:bCs/>
                <w:sz w:val="20"/>
                <w:szCs w:val="20"/>
              </w:rPr>
              <w:t xml:space="preserve">Response By: </w:t>
            </w:r>
            <w:r w:rsidR="00FA23B6">
              <w:rPr>
                <w:rFonts w:ascii="Arial" w:eastAsia="Times New Roman" w:hAnsi="Arial" w:cs="Arial"/>
                <w:b/>
                <w:bCs/>
                <w:sz w:val="20"/>
                <w:szCs w:val="20"/>
              </w:rPr>
              <w:t xml:space="preserve"> </w:t>
            </w:r>
            <w:r w:rsidR="00567098" w:rsidRPr="000F25CA">
              <w:rPr>
                <w:rFonts w:ascii="Arial" w:eastAsia="Times New Roman" w:hAnsi="Arial" w:cs="Arial"/>
                <w:b/>
                <w:bCs/>
                <w:sz w:val="20"/>
                <w:szCs w:val="20"/>
              </w:rPr>
              <w:t>Division of Health Services</w:t>
            </w:r>
            <w:r w:rsidR="003277B2">
              <w:rPr>
                <w:rFonts w:ascii="Arial" w:eastAsia="Times New Roman" w:hAnsi="Arial" w:cs="Arial"/>
                <w:b/>
                <w:bCs/>
                <w:sz w:val="20"/>
                <w:szCs w:val="20"/>
              </w:rPr>
              <w:t xml:space="preserve">                           </w:t>
            </w:r>
            <w:r w:rsidR="003277B2" w:rsidRPr="000F25CA">
              <w:rPr>
                <w:rFonts w:ascii="Arial" w:eastAsia="Times New Roman" w:hAnsi="Arial" w:cs="Arial"/>
                <w:b/>
                <w:bCs/>
                <w:sz w:val="20"/>
                <w:szCs w:val="20"/>
              </w:rPr>
              <w:t xml:space="preserve">Date: </w:t>
            </w:r>
            <w:r w:rsidR="003277B2">
              <w:rPr>
                <w:rFonts w:ascii="Arial" w:eastAsia="Times New Roman" w:hAnsi="Arial" w:cs="Arial"/>
                <w:b/>
                <w:bCs/>
                <w:sz w:val="20"/>
                <w:szCs w:val="20"/>
              </w:rPr>
              <w:t xml:space="preserve"> </w:t>
            </w:r>
          </w:p>
        </w:tc>
        <w:tc>
          <w:tcPr>
            <w:tcW w:w="0" w:type="auto"/>
            <w:vAlign w:val="center"/>
            <w:hideMark/>
          </w:tcPr>
          <w:p w14:paraId="37A986B2" w14:textId="5A8A2CCA" w:rsidR="004C0831" w:rsidRPr="000F25CA" w:rsidRDefault="004C0831" w:rsidP="000F25CA">
            <w:pPr>
              <w:spacing w:after="0" w:line="240" w:lineRule="auto"/>
              <w:rPr>
                <w:rFonts w:ascii="Arial" w:eastAsia="Times New Roman" w:hAnsi="Arial" w:cs="Arial"/>
                <w:sz w:val="20"/>
                <w:szCs w:val="20"/>
              </w:rPr>
            </w:pPr>
          </w:p>
        </w:tc>
      </w:tr>
    </w:tbl>
    <w:p w14:paraId="65E68C2F" w14:textId="77777777" w:rsidR="00B91500" w:rsidRDefault="00B91500" w:rsidP="000F25CA">
      <w:pPr>
        <w:pStyle w:val="NoSpacing"/>
        <w:rPr>
          <w:rFonts w:ascii="Arial" w:hAnsi="Arial" w:cs="Arial"/>
          <w:sz w:val="20"/>
          <w:szCs w:val="20"/>
        </w:rPr>
      </w:pPr>
    </w:p>
    <w:p w14:paraId="08D2AA6F" w14:textId="70DB8408" w:rsidR="00545552" w:rsidRDefault="005B470D" w:rsidP="000F25CA">
      <w:pPr>
        <w:pStyle w:val="NoSpacing"/>
        <w:rPr>
          <w:rFonts w:ascii="Arial" w:hAnsi="Arial" w:cs="Arial"/>
          <w:sz w:val="20"/>
          <w:szCs w:val="20"/>
        </w:rPr>
      </w:pPr>
      <w:r>
        <w:rPr>
          <w:rFonts w:ascii="Arial" w:hAnsi="Arial" w:cs="Arial"/>
          <w:sz w:val="20"/>
          <w:szCs w:val="20"/>
        </w:rPr>
        <w:t xml:space="preserve">Yes, </w:t>
      </w:r>
      <w:r w:rsidR="000A5F08">
        <w:rPr>
          <w:rFonts w:ascii="Arial" w:hAnsi="Arial" w:cs="Arial"/>
          <w:sz w:val="20"/>
          <w:szCs w:val="20"/>
        </w:rPr>
        <w:t>individuals can be</w:t>
      </w:r>
      <w:r>
        <w:rPr>
          <w:rFonts w:ascii="Arial" w:hAnsi="Arial" w:cs="Arial"/>
          <w:sz w:val="20"/>
          <w:szCs w:val="20"/>
        </w:rPr>
        <w:t xml:space="preserve"> eligible</w:t>
      </w:r>
      <w:r w:rsidR="000A5F08">
        <w:rPr>
          <w:rFonts w:ascii="Arial" w:hAnsi="Arial" w:cs="Arial"/>
          <w:sz w:val="20"/>
          <w:szCs w:val="20"/>
        </w:rPr>
        <w:t xml:space="preserve"> </w:t>
      </w:r>
      <w:r>
        <w:rPr>
          <w:rFonts w:ascii="Arial" w:hAnsi="Arial" w:cs="Arial"/>
          <w:sz w:val="20"/>
          <w:szCs w:val="20"/>
        </w:rPr>
        <w:t>if there is a reconsideration of a denied application, reopening of closed benefits, or reopening of benefits closed at renewal.  The policies outlined in Medical Assistance Eligibility Handbook (MAEH) Chapter 379, “Reconsidering Denied Applications and Closed Benefits” apply.</w:t>
      </w:r>
    </w:p>
    <w:p w14:paraId="4B999949" w14:textId="5E9A522B" w:rsidR="005B470D" w:rsidRDefault="005B470D" w:rsidP="000F25CA">
      <w:pPr>
        <w:pStyle w:val="NoSpacing"/>
        <w:rPr>
          <w:rFonts w:ascii="Arial" w:hAnsi="Arial" w:cs="Arial"/>
          <w:sz w:val="20"/>
          <w:szCs w:val="20"/>
        </w:rPr>
      </w:pPr>
    </w:p>
    <w:p w14:paraId="614F34DA" w14:textId="2EA92269" w:rsidR="005B470D" w:rsidRPr="00846189" w:rsidRDefault="005B470D" w:rsidP="000F25CA">
      <w:pPr>
        <w:pStyle w:val="NoSpacing"/>
        <w:rPr>
          <w:rFonts w:ascii="Arial" w:hAnsi="Arial" w:cs="Arial"/>
          <w:sz w:val="20"/>
          <w:szCs w:val="20"/>
        </w:rPr>
      </w:pPr>
      <w:r w:rsidRPr="00846189">
        <w:rPr>
          <w:rFonts w:ascii="Arial" w:hAnsi="Arial" w:cs="Arial"/>
          <w:sz w:val="20"/>
          <w:szCs w:val="20"/>
        </w:rPr>
        <w:t xml:space="preserve">Example:  </w:t>
      </w:r>
    </w:p>
    <w:p w14:paraId="2999DE87" w14:textId="0EFAA65B" w:rsidR="005B470D" w:rsidRPr="00846189" w:rsidRDefault="005B470D" w:rsidP="000F25CA">
      <w:pPr>
        <w:pStyle w:val="NoSpacing"/>
        <w:rPr>
          <w:rFonts w:ascii="Arial" w:hAnsi="Arial" w:cs="Arial"/>
          <w:sz w:val="20"/>
          <w:szCs w:val="20"/>
        </w:rPr>
      </w:pPr>
    </w:p>
    <w:p w14:paraId="40CCA535" w14:textId="4F66B4C7" w:rsidR="005B470D" w:rsidRPr="00846189" w:rsidRDefault="005B470D" w:rsidP="000F25CA">
      <w:pPr>
        <w:pStyle w:val="NoSpacing"/>
        <w:rPr>
          <w:rFonts w:ascii="Arial" w:hAnsi="Arial" w:cs="Arial"/>
          <w:sz w:val="20"/>
          <w:szCs w:val="20"/>
        </w:rPr>
      </w:pPr>
      <w:r w:rsidRPr="00846189">
        <w:rPr>
          <w:rFonts w:ascii="Arial" w:hAnsi="Arial" w:cs="Arial"/>
          <w:sz w:val="20"/>
          <w:szCs w:val="20"/>
        </w:rPr>
        <w:t xml:space="preserve">Mary and her son Mike (age 13) </w:t>
      </w:r>
      <w:r w:rsidR="00846189" w:rsidRPr="00846189">
        <w:rPr>
          <w:rFonts w:ascii="Arial" w:hAnsi="Arial" w:cs="Arial"/>
          <w:sz w:val="20"/>
          <w:szCs w:val="20"/>
        </w:rPr>
        <w:t xml:space="preserve">were in an MG27 budget that closed on January 15 for failure to complete renewal (reason code 042).  Mary </w:t>
      </w:r>
      <w:r w:rsidR="00A755C5">
        <w:rPr>
          <w:rFonts w:ascii="Arial" w:hAnsi="Arial" w:cs="Arial"/>
          <w:sz w:val="20"/>
          <w:szCs w:val="20"/>
        </w:rPr>
        <w:t>provided a complete renewal</w:t>
      </w:r>
      <w:r w:rsidR="00846189" w:rsidRPr="00846189">
        <w:rPr>
          <w:rFonts w:ascii="Arial" w:hAnsi="Arial" w:cs="Arial"/>
          <w:sz w:val="20"/>
          <w:szCs w:val="20"/>
        </w:rPr>
        <w:t xml:space="preserve"> on February 21.  Since this is within the 90-day period for reconsideration for benefits closed at renewal, Mary and her son may be eligible for MG71 if all other eligibility criteria are met.  See MAEH Chapter 339.2,” TMA Eligibility”.</w:t>
      </w:r>
    </w:p>
    <w:p w14:paraId="783AFFCA" w14:textId="5B5164A7" w:rsidR="005B470D" w:rsidRPr="00846189" w:rsidRDefault="005B470D" w:rsidP="000F25CA">
      <w:pPr>
        <w:pStyle w:val="NoSpacing"/>
        <w:rPr>
          <w:rFonts w:ascii="Arial" w:hAnsi="Arial" w:cs="Arial"/>
          <w:sz w:val="20"/>
          <w:szCs w:val="20"/>
        </w:rPr>
      </w:pPr>
    </w:p>
    <w:p w14:paraId="18F39550" w14:textId="505AFC1A" w:rsidR="00545552" w:rsidRPr="00846189" w:rsidRDefault="00846189" w:rsidP="000F25CA">
      <w:pPr>
        <w:pStyle w:val="NoSpacing"/>
        <w:rPr>
          <w:rFonts w:ascii="Arial" w:hAnsi="Arial" w:cs="Arial"/>
          <w:sz w:val="20"/>
          <w:szCs w:val="20"/>
        </w:rPr>
      </w:pPr>
      <w:r w:rsidRPr="00846189">
        <w:rPr>
          <w:rFonts w:ascii="Arial" w:hAnsi="Arial" w:cs="Arial"/>
          <w:sz w:val="20"/>
          <w:szCs w:val="20"/>
        </w:rPr>
        <w:t>This Policy Clarification will become obsolete upon update of the MAEH.</w:t>
      </w:r>
    </w:p>
    <w:p w14:paraId="1DA043A8" w14:textId="37FF3DC6" w:rsidR="00567098" w:rsidRPr="004910BE" w:rsidRDefault="00567098" w:rsidP="00567098">
      <w:pPr>
        <w:rPr>
          <w:rFonts w:ascii="Arial" w:hAnsi="Arial" w:cs="Arial"/>
          <w:sz w:val="24"/>
          <w:szCs w:val="24"/>
        </w:rPr>
      </w:pPr>
    </w:p>
    <w:p w14:paraId="2850437F" w14:textId="77777777" w:rsidR="00340862" w:rsidRPr="004910BE" w:rsidRDefault="00340862" w:rsidP="00340862">
      <w:pPr>
        <w:rPr>
          <w:rFonts w:ascii="Arial" w:hAnsi="Arial" w:cs="Arial"/>
          <w:sz w:val="24"/>
          <w:szCs w:val="24"/>
        </w:rPr>
      </w:pPr>
    </w:p>
    <w:sectPr w:rsidR="00340862" w:rsidRPr="0049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655C48"/>
    <w:multiLevelType w:val="hybridMultilevel"/>
    <w:tmpl w:val="31C81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B6538"/>
    <w:multiLevelType w:val="hybridMultilevel"/>
    <w:tmpl w:val="A57CFA5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15:restartNumberingAfterBreak="0">
    <w:nsid w:val="6FE6119E"/>
    <w:multiLevelType w:val="hybridMultilevel"/>
    <w:tmpl w:val="2C2AB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2C5EA8"/>
    <w:multiLevelType w:val="hybridMultilevel"/>
    <w:tmpl w:val="2F08B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1"/>
    <w:rsid w:val="000A5F08"/>
    <w:rsid w:val="000F25CA"/>
    <w:rsid w:val="00200E49"/>
    <w:rsid w:val="002C2B97"/>
    <w:rsid w:val="003277B2"/>
    <w:rsid w:val="00340862"/>
    <w:rsid w:val="003531B7"/>
    <w:rsid w:val="003D02B4"/>
    <w:rsid w:val="0041001F"/>
    <w:rsid w:val="004910BE"/>
    <w:rsid w:val="004C0831"/>
    <w:rsid w:val="004D6AC5"/>
    <w:rsid w:val="0051761A"/>
    <w:rsid w:val="00545552"/>
    <w:rsid w:val="00567098"/>
    <w:rsid w:val="005B470D"/>
    <w:rsid w:val="007D6D81"/>
    <w:rsid w:val="00813297"/>
    <w:rsid w:val="00846189"/>
    <w:rsid w:val="008C5D2D"/>
    <w:rsid w:val="008D09D1"/>
    <w:rsid w:val="008D2866"/>
    <w:rsid w:val="008F6A08"/>
    <w:rsid w:val="009070FB"/>
    <w:rsid w:val="009A200F"/>
    <w:rsid w:val="00A755C5"/>
    <w:rsid w:val="00A7775E"/>
    <w:rsid w:val="00B91500"/>
    <w:rsid w:val="00D82B03"/>
    <w:rsid w:val="00DC546F"/>
    <w:rsid w:val="00EF38FA"/>
    <w:rsid w:val="00F0180E"/>
    <w:rsid w:val="00F26389"/>
    <w:rsid w:val="00F46B77"/>
    <w:rsid w:val="00F753A8"/>
    <w:rsid w:val="00F83D43"/>
    <w:rsid w:val="00FA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88DE"/>
  <w15:docId w15:val="{DAF16C18-46D2-48FC-BDEB-B628F6DB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paragraph" w:styleId="BalloonText">
    <w:name w:val="Balloon Text"/>
    <w:basedOn w:val="Normal"/>
    <w:link w:val="BalloonTextChar"/>
    <w:uiPriority w:val="99"/>
    <w:semiHidden/>
    <w:unhideWhenUsed/>
    <w:rsid w:val="00DC5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46F"/>
    <w:rPr>
      <w:rFonts w:ascii="Segoe UI" w:hAnsi="Segoe UI" w:cs="Segoe UI"/>
      <w:sz w:val="18"/>
      <w:szCs w:val="18"/>
    </w:rPr>
  </w:style>
  <w:style w:type="paragraph" w:styleId="NoSpacing">
    <w:name w:val="No Spacing"/>
    <w:uiPriority w:val="1"/>
    <w:qFormat/>
    <w:rsid w:val="004910BE"/>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83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2018-10-29T13:57:00Z</cp:lastPrinted>
  <dcterms:created xsi:type="dcterms:W3CDTF">2018-12-19T20:47:00Z</dcterms:created>
  <dcterms:modified xsi:type="dcterms:W3CDTF">2018-12-19T20:47:00Z</dcterms:modified>
</cp:coreProperties>
</file>