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FB0" w:rsidRDefault="004C0831" w:rsidP="004C0831">
      <w:pPr>
        <w:spacing w:before="100" w:beforeAutospacing="1" w:after="100" w:afterAutospacing="1" w:line="240" w:lineRule="auto"/>
        <w:jc w:val="center"/>
        <w:outlineLvl w:val="1"/>
        <w:rPr>
          <w:rFonts w:ascii="Arial" w:eastAsia="Times New Roman" w:hAnsi="Arial" w:cs="Arial"/>
          <w:b/>
          <w:bCs/>
          <w:sz w:val="36"/>
          <w:szCs w:val="36"/>
        </w:rPr>
      </w:pPr>
      <w:r w:rsidRPr="003C63D0">
        <w:rPr>
          <w:rFonts w:ascii="Arial" w:eastAsia="Times New Roman" w:hAnsi="Arial" w:cs="Arial"/>
          <w:b/>
          <w:bCs/>
          <w:sz w:val="36"/>
          <w:szCs w:val="36"/>
        </w:rPr>
        <w:t xml:space="preserve">Policy Clarifications </w:t>
      </w:r>
      <w:r w:rsidR="00340862">
        <w:rPr>
          <w:rFonts w:ascii="Arial" w:eastAsia="Times New Roman" w:hAnsi="Arial" w:cs="Arial"/>
          <w:b/>
          <w:bCs/>
          <w:sz w:val="36"/>
          <w:szCs w:val="36"/>
        </w:rPr>
        <w:t>–</w:t>
      </w:r>
    </w:p>
    <w:p w:rsidR="00836FB0" w:rsidRDefault="00836FB0" w:rsidP="004C0831">
      <w:pPr>
        <w:spacing w:before="100" w:beforeAutospacing="1" w:after="100" w:afterAutospacing="1" w:line="240" w:lineRule="auto"/>
        <w:jc w:val="center"/>
        <w:outlineLvl w:val="1"/>
        <w:rPr>
          <w:rFonts w:ascii="Arial" w:eastAsia="Times New Roman" w:hAnsi="Arial" w:cs="Arial"/>
          <w:b/>
          <w:bCs/>
          <w:sz w:val="36"/>
          <w:szCs w:val="36"/>
        </w:rPr>
      </w:pPr>
      <w:r>
        <w:rPr>
          <w:rFonts w:ascii="Arial" w:eastAsia="Times New Roman" w:hAnsi="Arial" w:cs="Arial"/>
          <w:b/>
          <w:bCs/>
          <w:sz w:val="36"/>
          <w:szCs w:val="36"/>
        </w:rPr>
        <w:t xml:space="preserve"> Long Term Care</w:t>
      </w:r>
    </w:p>
    <w:p w:rsidR="00340862" w:rsidRDefault="00836FB0" w:rsidP="00836FB0">
      <w:pPr>
        <w:spacing w:before="100" w:beforeAutospacing="1" w:after="100" w:afterAutospacing="1" w:line="240" w:lineRule="auto"/>
        <w:jc w:val="center"/>
        <w:outlineLvl w:val="1"/>
        <w:rPr>
          <w:rFonts w:ascii="Arial" w:eastAsia="Times New Roman" w:hAnsi="Arial" w:cs="Arial"/>
          <w:b/>
          <w:bCs/>
          <w:sz w:val="24"/>
          <w:szCs w:val="24"/>
        </w:rPr>
      </w:pPr>
      <w:r>
        <w:rPr>
          <w:rFonts w:ascii="Arial" w:eastAsia="Times New Roman" w:hAnsi="Arial" w:cs="Arial"/>
          <w:b/>
          <w:bCs/>
          <w:sz w:val="36"/>
          <w:szCs w:val="36"/>
        </w:rPr>
        <w:t>PMN 18432- 489</w:t>
      </w:r>
    </w:p>
    <w:p w:rsidR="004C0831" w:rsidRDefault="004C0831" w:rsidP="004C0831">
      <w:pPr>
        <w:spacing w:before="100" w:beforeAutospacing="1" w:after="100" w:afterAutospacing="1" w:line="240" w:lineRule="auto"/>
        <w:outlineLvl w:val="1"/>
        <w:rPr>
          <w:rFonts w:ascii="Arial" w:eastAsia="Times New Roman" w:hAnsi="Arial" w:cs="Arial"/>
          <w:b/>
          <w:bCs/>
          <w:sz w:val="36"/>
          <w:szCs w:val="36"/>
        </w:rPr>
      </w:pPr>
      <w:r w:rsidRPr="004C0831">
        <w:rPr>
          <w:rFonts w:ascii="Arial" w:eastAsia="Times New Roman" w:hAnsi="Arial" w:cs="Arial"/>
          <w:b/>
          <w:bCs/>
          <w:sz w:val="24"/>
          <w:szCs w:val="24"/>
        </w:rPr>
        <w:t>Submitted:</w:t>
      </w:r>
      <w:r w:rsidR="00836FB0">
        <w:rPr>
          <w:rFonts w:ascii="Arial" w:eastAsia="Times New Roman" w:hAnsi="Arial" w:cs="Arial"/>
          <w:b/>
          <w:bCs/>
          <w:sz w:val="24"/>
          <w:szCs w:val="24"/>
        </w:rPr>
        <w:t xml:space="preserve"> 4/11/2017</w:t>
      </w:r>
      <w:r w:rsidRPr="004C0831">
        <w:rPr>
          <w:rFonts w:ascii="Arial" w:eastAsia="Times New Roman" w:hAnsi="Arial" w:cs="Arial"/>
          <w:b/>
          <w:bCs/>
          <w:sz w:val="24"/>
          <w:szCs w:val="24"/>
        </w:rPr>
        <w:tab/>
      </w:r>
      <w:r w:rsidRPr="004C0831">
        <w:rPr>
          <w:rFonts w:ascii="Arial" w:eastAsia="Times New Roman" w:hAnsi="Arial" w:cs="Arial"/>
          <w:b/>
          <w:bCs/>
          <w:sz w:val="24"/>
          <w:szCs w:val="24"/>
        </w:rPr>
        <w:tab/>
      </w:r>
      <w:r w:rsidRPr="004C0831">
        <w:rPr>
          <w:rFonts w:ascii="Arial" w:eastAsia="Times New Roman" w:hAnsi="Arial" w:cs="Arial"/>
          <w:b/>
          <w:bCs/>
          <w:sz w:val="24"/>
          <w:szCs w:val="24"/>
        </w:rPr>
        <w:tab/>
        <w:t>Agency: CAOs</w:t>
      </w:r>
      <w:r w:rsidRPr="004C0831">
        <w:rPr>
          <w:rFonts w:ascii="Arial" w:eastAsia="Times New Roman" w:hAnsi="Arial" w:cs="Arial"/>
          <w:b/>
          <w:bCs/>
          <w:sz w:val="24"/>
          <w:szCs w:val="24"/>
        </w:rPr>
        <w:tab/>
      </w:r>
    </w:p>
    <w:p w:rsidR="004C0831" w:rsidRPr="004C0831" w:rsidRDefault="004C0831" w:rsidP="00340862">
      <w:pPr>
        <w:spacing w:before="100" w:beforeAutospacing="1" w:after="100" w:afterAutospacing="1" w:line="240" w:lineRule="auto"/>
        <w:outlineLvl w:val="1"/>
        <w:rPr>
          <w:rFonts w:ascii="Arial" w:eastAsia="Times New Roman" w:hAnsi="Arial" w:cs="Arial"/>
          <w:b/>
          <w:bCs/>
          <w:sz w:val="24"/>
          <w:szCs w:val="24"/>
        </w:rPr>
      </w:pPr>
      <w:r w:rsidRPr="004C0831">
        <w:rPr>
          <w:rFonts w:ascii="Arial" w:eastAsia="Times New Roman" w:hAnsi="Arial" w:cs="Arial"/>
          <w:b/>
          <w:bCs/>
          <w:sz w:val="24"/>
          <w:szCs w:val="24"/>
        </w:rPr>
        <w:t>Subject:</w:t>
      </w:r>
      <w:r w:rsidR="00A7775E">
        <w:rPr>
          <w:rFonts w:ascii="Arial" w:eastAsia="Times New Roman" w:hAnsi="Arial" w:cs="Arial"/>
          <w:b/>
          <w:bCs/>
          <w:sz w:val="24"/>
          <w:szCs w:val="24"/>
        </w:rPr>
        <w:t xml:space="preserve"> </w:t>
      </w:r>
      <w:r w:rsidR="004A2E47" w:rsidRPr="004A2E47">
        <w:rPr>
          <w:rFonts w:ascii="Arial" w:eastAsia="Times New Roman" w:hAnsi="Arial" w:cs="Arial"/>
          <w:b/>
          <w:bCs/>
          <w:sz w:val="24"/>
          <w:szCs w:val="24"/>
        </w:rPr>
        <w:t xml:space="preserve">Home and Community Based Services (HCBS) Mosley Text </w:t>
      </w:r>
      <w:r w:rsidR="00836FB0" w:rsidRPr="004A2E47">
        <w:rPr>
          <w:rFonts w:ascii="Arial" w:eastAsia="Times New Roman" w:hAnsi="Arial" w:cs="Arial"/>
          <w:b/>
          <w:bCs/>
          <w:sz w:val="24"/>
          <w:szCs w:val="24"/>
        </w:rPr>
        <w:t xml:space="preserve">Manual </w:t>
      </w:r>
      <w:r w:rsidR="00836FB0">
        <w:rPr>
          <w:rFonts w:ascii="Arial" w:eastAsia="Times New Roman" w:hAnsi="Arial" w:cs="Arial"/>
          <w:b/>
          <w:bCs/>
          <w:sz w:val="24"/>
          <w:szCs w:val="24"/>
        </w:rPr>
        <w:t>Notice</w:t>
      </w:r>
      <w:r w:rsidR="004A2E47" w:rsidRPr="004A2E47">
        <w:rPr>
          <w:rFonts w:ascii="Arial" w:eastAsia="Times New Roman" w:hAnsi="Arial" w:cs="Arial"/>
          <w:b/>
          <w:bCs/>
          <w:sz w:val="24"/>
          <w:szCs w:val="24"/>
        </w:rPr>
        <w:t xml:space="preserve"> Templates</w:t>
      </w:r>
      <w:bookmarkStart w:id="0" w:name="_GoBack"/>
      <w:bookmarkEnd w:id="0"/>
    </w:p>
    <w:p w:rsidR="00F753A8" w:rsidRPr="00A7775E" w:rsidRDefault="004C0831" w:rsidP="00F753A8">
      <w:pPr>
        <w:rPr>
          <w:rFonts w:ascii="Arial" w:hAnsi="Arial" w:cs="Arial"/>
          <w:sz w:val="20"/>
          <w:szCs w:val="20"/>
        </w:rPr>
      </w:pPr>
      <w:r w:rsidRPr="003C63D0">
        <w:rPr>
          <w:rFonts w:ascii="Arial" w:hAnsi="Arial" w:cs="Arial"/>
          <w:b/>
          <w:sz w:val="20"/>
          <w:szCs w:val="20"/>
        </w:rPr>
        <w:t>Question</w:t>
      </w:r>
      <w:r w:rsidRPr="00F753A8">
        <w:rPr>
          <w:rFonts w:ascii="Arial" w:hAnsi="Arial" w:cs="Arial"/>
          <w:sz w:val="20"/>
          <w:szCs w:val="20"/>
        </w:rPr>
        <w:t>:</w:t>
      </w:r>
      <w:r w:rsidR="00A7775E" w:rsidRPr="00F753A8">
        <w:rPr>
          <w:rFonts w:ascii="Arial" w:hAnsi="Arial" w:cs="Arial"/>
          <w:sz w:val="20"/>
          <w:szCs w:val="20"/>
        </w:rPr>
        <w:t xml:space="preserve">  </w:t>
      </w:r>
      <w:r w:rsidR="004A2E47" w:rsidRPr="004A2E47">
        <w:rPr>
          <w:rFonts w:ascii="Arial" w:hAnsi="Arial" w:cs="Arial"/>
          <w:sz w:val="20"/>
          <w:szCs w:val="20"/>
        </w:rPr>
        <w:t>Is a manual notice template of the Mosley text explained in Ops Memo 16-06-01 available?</w:t>
      </w:r>
    </w:p>
    <w:p w:rsidR="004C0831" w:rsidRPr="003C63D0" w:rsidRDefault="00401F49" w:rsidP="004C0831">
      <w:pPr>
        <w:spacing w:after="0" w:line="240" w:lineRule="auto"/>
        <w:rPr>
          <w:rFonts w:ascii="Arial" w:eastAsia="Times New Roman" w:hAnsi="Arial" w:cs="Arial"/>
          <w:sz w:val="20"/>
          <w:szCs w:val="20"/>
        </w:rPr>
      </w:pPr>
      <w:r>
        <w:rPr>
          <w:rFonts w:ascii="Arial" w:eastAsia="Times New Roman" w:hAnsi="Arial" w:cs="Arial"/>
          <w:sz w:val="20"/>
          <w:szCs w:val="20"/>
        </w:rPr>
        <w:pict>
          <v:rect id="_x0000_i1025" style="width:0;height:1.5pt" o:hralign="center" o:hrstd="t" o:hr="t" fillcolor="#a0a0a0" stroked="f"/>
        </w:pi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167"/>
        <w:gridCol w:w="2283"/>
      </w:tblGrid>
      <w:tr w:rsidR="00A7775E" w:rsidRPr="003C63D0" w:rsidTr="00F271D3">
        <w:trPr>
          <w:tblCellSpacing w:w="15" w:type="dxa"/>
        </w:trPr>
        <w:tc>
          <w:tcPr>
            <w:tcW w:w="0" w:type="auto"/>
            <w:vAlign w:val="center"/>
            <w:hideMark/>
          </w:tcPr>
          <w:p w:rsidR="004C0831" w:rsidRPr="003C63D0" w:rsidRDefault="004C0831" w:rsidP="00F753A8">
            <w:pPr>
              <w:spacing w:after="0" w:line="240" w:lineRule="auto"/>
              <w:rPr>
                <w:rFonts w:ascii="Arial" w:eastAsia="Times New Roman" w:hAnsi="Arial" w:cs="Arial"/>
                <w:sz w:val="20"/>
                <w:szCs w:val="20"/>
              </w:rPr>
            </w:pPr>
            <w:r w:rsidRPr="003C63D0">
              <w:rPr>
                <w:rFonts w:ascii="Arial" w:eastAsia="Times New Roman" w:hAnsi="Arial" w:cs="Arial"/>
                <w:b/>
                <w:bCs/>
                <w:sz w:val="20"/>
                <w:szCs w:val="20"/>
              </w:rPr>
              <w:t xml:space="preserve">Response By: </w:t>
            </w:r>
            <w:r w:rsidR="004A2E47" w:rsidRPr="004A2E47">
              <w:rPr>
                <w:rFonts w:ascii="Arial" w:eastAsia="Times New Roman" w:hAnsi="Arial" w:cs="Arial"/>
                <w:b/>
                <w:bCs/>
                <w:sz w:val="20"/>
                <w:szCs w:val="20"/>
              </w:rPr>
              <w:t>Division of Health Services</w:t>
            </w:r>
          </w:p>
        </w:tc>
        <w:tc>
          <w:tcPr>
            <w:tcW w:w="0" w:type="auto"/>
            <w:vAlign w:val="center"/>
            <w:hideMark/>
          </w:tcPr>
          <w:p w:rsidR="004C0831" w:rsidRPr="003C63D0" w:rsidRDefault="004C0831" w:rsidP="003531B7">
            <w:pPr>
              <w:spacing w:after="0" w:line="240" w:lineRule="auto"/>
              <w:rPr>
                <w:rFonts w:ascii="Arial" w:eastAsia="Times New Roman" w:hAnsi="Arial" w:cs="Arial"/>
                <w:sz w:val="20"/>
                <w:szCs w:val="20"/>
              </w:rPr>
            </w:pPr>
            <w:r w:rsidRPr="003C63D0">
              <w:rPr>
                <w:rFonts w:ascii="Arial" w:eastAsia="Times New Roman" w:hAnsi="Arial" w:cs="Arial"/>
                <w:b/>
                <w:bCs/>
                <w:sz w:val="20"/>
                <w:szCs w:val="20"/>
              </w:rPr>
              <w:t xml:space="preserve">Date: </w:t>
            </w:r>
            <w:r w:rsidR="00836FB0">
              <w:rPr>
                <w:rFonts w:ascii="Arial" w:eastAsia="Times New Roman" w:hAnsi="Arial" w:cs="Arial"/>
                <w:b/>
                <w:bCs/>
                <w:sz w:val="20"/>
                <w:szCs w:val="20"/>
              </w:rPr>
              <w:t>4/11/17</w:t>
            </w:r>
          </w:p>
        </w:tc>
      </w:tr>
    </w:tbl>
    <w:p w:rsidR="004A2E47" w:rsidRDefault="004A2E47" w:rsidP="004A2E47">
      <w:pPr>
        <w:rPr>
          <w:rFonts w:ascii="Arial" w:hAnsi="Arial" w:cs="Arial"/>
          <w:sz w:val="20"/>
          <w:szCs w:val="20"/>
        </w:rPr>
      </w:pPr>
    </w:p>
    <w:p w:rsidR="004A2E47" w:rsidRPr="004A2E47" w:rsidRDefault="004A2E47" w:rsidP="004A2E47">
      <w:pPr>
        <w:rPr>
          <w:rFonts w:ascii="Arial" w:hAnsi="Arial" w:cs="Arial"/>
          <w:sz w:val="20"/>
          <w:szCs w:val="20"/>
        </w:rPr>
      </w:pPr>
      <w:r w:rsidRPr="004A2E47">
        <w:rPr>
          <w:rFonts w:ascii="Arial" w:hAnsi="Arial" w:cs="Arial"/>
          <w:sz w:val="20"/>
          <w:szCs w:val="20"/>
        </w:rPr>
        <w:t xml:space="preserve">Yes, a template is available in the </w:t>
      </w:r>
      <w:hyperlink r:id="rId6" w:history="1">
        <w:r w:rsidRPr="004A2E47">
          <w:rPr>
            <w:rStyle w:val="Hyperlink"/>
            <w:rFonts w:ascii="Arial" w:hAnsi="Arial" w:cs="Arial"/>
            <w:sz w:val="20"/>
            <w:szCs w:val="20"/>
          </w:rPr>
          <w:t>LTC Forms</w:t>
        </w:r>
      </w:hyperlink>
      <w:r w:rsidRPr="004A2E47">
        <w:rPr>
          <w:rFonts w:ascii="Arial" w:hAnsi="Arial" w:cs="Arial"/>
          <w:sz w:val="20"/>
          <w:szCs w:val="20"/>
        </w:rPr>
        <w:t xml:space="preserve"> folder </w:t>
      </w:r>
      <w:r>
        <w:rPr>
          <w:rFonts w:ascii="Arial" w:hAnsi="Arial" w:cs="Arial"/>
          <w:sz w:val="20"/>
          <w:szCs w:val="20"/>
        </w:rPr>
        <w:t>in Docushare. CAOs are reminded</w:t>
      </w:r>
      <w:r w:rsidRPr="004A2E47">
        <w:rPr>
          <w:rFonts w:ascii="Arial" w:hAnsi="Arial" w:cs="Arial"/>
          <w:sz w:val="20"/>
          <w:szCs w:val="20"/>
        </w:rPr>
        <w:t xml:space="preserve"> that as a condition of the Mosley v. Alexander lawsuit explained in </w:t>
      </w:r>
      <w:hyperlink r:id="rId7" w:history="1">
        <w:r w:rsidRPr="004A2E47">
          <w:rPr>
            <w:rStyle w:val="Hyperlink"/>
            <w:rFonts w:ascii="Arial" w:hAnsi="Arial" w:cs="Arial"/>
            <w:sz w:val="20"/>
            <w:szCs w:val="20"/>
          </w:rPr>
          <w:t>Ops Memo 16-06-01</w:t>
        </w:r>
      </w:hyperlink>
      <w:r w:rsidRPr="004A2E47">
        <w:rPr>
          <w:rFonts w:ascii="Arial" w:hAnsi="Arial" w:cs="Arial"/>
          <w:sz w:val="20"/>
          <w:szCs w:val="20"/>
        </w:rPr>
        <w:t xml:space="preserve"> and </w:t>
      </w:r>
      <w:hyperlink r:id="rId8" w:history="1">
        <w:r w:rsidRPr="004A2E47">
          <w:rPr>
            <w:rStyle w:val="Hyperlink"/>
            <w:rFonts w:ascii="Arial" w:hAnsi="Arial" w:cs="Arial"/>
            <w:sz w:val="20"/>
            <w:szCs w:val="20"/>
          </w:rPr>
          <w:t>PMN 18281-477</w:t>
        </w:r>
      </w:hyperlink>
      <w:r>
        <w:rPr>
          <w:rFonts w:ascii="Arial" w:hAnsi="Arial" w:cs="Arial"/>
          <w:sz w:val="20"/>
          <w:szCs w:val="20"/>
        </w:rPr>
        <w:t>,</w:t>
      </w:r>
      <w:r w:rsidRPr="004A2E47">
        <w:rPr>
          <w:rFonts w:ascii="Arial" w:hAnsi="Arial" w:cs="Arial"/>
          <w:sz w:val="20"/>
          <w:szCs w:val="20"/>
        </w:rPr>
        <w:t xml:space="preserve"> Mosley text must be included on all manual notices issued for authorization of an affected Office of </w:t>
      </w:r>
      <w:r>
        <w:rPr>
          <w:rFonts w:ascii="Arial" w:hAnsi="Arial" w:cs="Arial"/>
          <w:sz w:val="20"/>
          <w:szCs w:val="20"/>
        </w:rPr>
        <w:t>Long Term Living (OLTL) waiver.</w:t>
      </w:r>
      <w:r w:rsidRPr="004A2E47">
        <w:rPr>
          <w:rFonts w:ascii="Arial" w:hAnsi="Arial" w:cs="Arial"/>
          <w:sz w:val="20"/>
          <w:szCs w:val="20"/>
        </w:rPr>
        <w:t xml:space="preserve">  Templates of the most common scenarios that require the Mosley text, which are authorization of an affected waiver with Buy-In (notice reason 986A) and without Buy-In (notice reason 986B), were created and are attached to this PC and are available in Docushare.  The name, address, recipient ID and all income information must be completed before issuing the notices.  </w:t>
      </w:r>
    </w:p>
    <w:p w:rsidR="004A2E47" w:rsidRPr="004A2E47" w:rsidRDefault="004A2E47" w:rsidP="004A2E47">
      <w:pPr>
        <w:rPr>
          <w:rFonts w:ascii="Arial" w:hAnsi="Arial" w:cs="Arial"/>
          <w:sz w:val="20"/>
          <w:szCs w:val="20"/>
        </w:rPr>
      </w:pPr>
      <w:r w:rsidRPr="004A2E47">
        <w:rPr>
          <w:rFonts w:ascii="Arial" w:hAnsi="Arial" w:cs="Arial"/>
          <w:sz w:val="20"/>
          <w:szCs w:val="20"/>
        </w:rPr>
        <w:t>In addition to authorization of the affected waivers mentioned below, manual notices for the following scenarios must also include the Mosley text:</w:t>
      </w:r>
    </w:p>
    <w:p w:rsidR="004A2E47" w:rsidRPr="004A2E47" w:rsidRDefault="004A2E47" w:rsidP="004A2E47">
      <w:pPr>
        <w:spacing w:after="120" w:line="240" w:lineRule="auto"/>
        <w:rPr>
          <w:rFonts w:ascii="Arial" w:hAnsi="Arial" w:cs="Arial"/>
          <w:sz w:val="20"/>
          <w:szCs w:val="20"/>
        </w:rPr>
      </w:pPr>
      <w:r w:rsidRPr="004A2E47">
        <w:rPr>
          <w:rFonts w:ascii="Arial" w:hAnsi="Arial" w:cs="Arial"/>
          <w:sz w:val="20"/>
          <w:szCs w:val="20"/>
        </w:rPr>
        <w:t>•</w:t>
      </w:r>
      <w:r w:rsidRPr="004A2E47">
        <w:rPr>
          <w:rFonts w:ascii="Arial" w:hAnsi="Arial" w:cs="Arial"/>
          <w:sz w:val="20"/>
          <w:szCs w:val="20"/>
        </w:rPr>
        <w:tab/>
        <w:t>Granting an Undue Hardship</w:t>
      </w:r>
    </w:p>
    <w:p w:rsidR="004A2E47" w:rsidRPr="004A2E47" w:rsidRDefault="004A2E47" w:rsidP="004A2E47">
      <w:pPr>
        <w:spacing w:after="120" w:line="240" w:lineRule="auto"/>
        <w:rPr>
          <w:rFonts w:ascii="Arial" w:hAnsi="Arial" w:cs="Arial"/>
          <w:sz w:val="20"/>
          <w:szCs w:val="20"/>
        </w:rPr>
      </w:pPr>
      <w:r w:rsidRPr="004A2E47">
        <w:rPr>
          <w:rFonts w:ascii="Arial" w:hAnsi="Arial" w:cs="Arial"/>
          <w:sz w:val="20"/>
          <w:szCs w:val="20"/>
        </w:rPr>
        <w:t>•</w:t>
      </w:r>
      <w:r w:rsidRPr="004A2E47">
        <w:rPr>
          <w:rFonts w:ascii="Arial" w:hAnsi="Arial" w:cs="Arial"/>
          <w:sz w:val="20"/>
          <w:szCs w:val="20"/>
        </w:rPr>
        <w:tab/>
        <w:t xml:space="preserve"> Processing the expiration of a penalty period </w:t>
      </w:r>
    </w:p>
    <w:p w:rsidR="004A2E47" w:rsidRPr="004A2E47" w:rsidRDefault="004A2E47" w:rsidP="004A2E47">
      <w:pPr>
        <w:spacing w:after="120" w:line="240" w:lineRule="auto"/>
        <w:rPr>
          <w:rFonts w:ascii="Arial" w:hAnsi="Arial" w:cs="Arial"/>
          <w:sz w:val="20"/>
          <w:szCs w:val="20"/>
        </w:rPr>
      </w:pPr>
      <w:r w:rsidRPr="004A2E47">
        <w:rPr>
          <w:rFonts w:ascii="Arial" w:hAnsi="Arial" w:cs="Arial"/>
          <w:sz w:val="20"/>
          <w:szCs w:val="20"/>
        </w:rPr>
        <w:t>•</w:t>
      </w:r>
      <w:r w:rsidRPr="004A2E47">
        <w:rPr>
          <w:rFonts w:ascii="Arial" w:hAnsi="Arial" w:cs="Arial"/>
          <w:sz w:val="20"/>
          <w:szCs w:val="20"/>
        </w:rPr>
        <w:tab/>
        <w:t xml:space="preserve">Transferring from a non-OLTL waiver to an OLTL waiver </w:t>
      </w:r>
    </w:p>
    <w:p w:rsidR="004A2E47" w:rsidRPr="004A2E47" w:rsidRDefault="004A2E47" w:rsidP="004A2E47">
      <w:pPr>
        <w:spacing w:after="120" w:line="240" w:lineRule="auto"/>
        <w:rPr>
          <w:rFonts w:ascii="Arial" w:hAnsi="Arial" w:cs="Arial"/>
          <w:sz w:val="20"/>
          <w:szCs w:val="20"/>
        </w:rPr>
      </w:pPr>
      <w:r w:rsidRPr="004A2E47">
        <w:rPr>
          <w:rFonts w:ascii="Arial" w:hAnsi="Arial" w:cs="Arial"/>
          <w:sz w:val="20"/>
          <w:szCs w:val="20"/>
        </w:rPr>
        <w:t>•</w:t>
      </w:r>
      <w:r w:rsidRPr="004A2E47">
        <w:rPr>
          <w:rFonts w:ascii="Arial" w:hAnsi="Arial" w:cs="Arial"/>
          <w:sz w:val="20"/>
          <w:szCs w:val="20"/>
        </w:rPr>
        <w:tab/>
        <w:t xml:space="preserve">Transferring from one OLTL waiver to another OLTL waiver </w:t>
      </w:r>
    </w:p>
    <w:p w:rsidR="004A2E47" w:rsidRPr="004A2E47" w:rsidRDefault="004A2E47" w:rsidP="004A2E47">
      <w:pPr>
        <w:spacing w:after="120" w:line="240" w:lineRule="auto"/>
        <w:rPr>
          <w:rFonts w:ascii="Arial" w:hAnsi="Arial" w:cs="Arial"/>
          <w:sz w:val="20"/>
          <w:szCs w:val="20"/>
        </w:rPr>
      </w:pPr>
    </w:p>
    <w:p w:rsidR="004A2E47" w:rsidRPr="004A2E47" w:rsidRDefault="004A2E47" w:rsidP="004A2E47">
      <w:pPr>
        <w:spacing w:after="120" w:line="240" w:lineRule="auto"/>
        <w:rPr>
          <w:rFonts w:ascii="Arial" w:hAnsi="Arial" w:cs="Arial"/>
          <w:sz w:val="20"/>
          <w:szCs w:val="20"/>
        </w:rPr>
      </w:pPr>
      <w:r w:rsidRPr="004A2E47">
        <w:rPr>
          <w:rFonts w:ascii="Arial" w:hAnsi="Arial" w:cs="Arial"/>
          <w:sz w:val="20"/>
          <w:szCs w:val="20"/>
        </w:rPr>
        <w:t>The OLTL waivers impacted include:</w:t>
      </w:r>
    </w:p>
    <w:p w:rsidR="004A2E47" w:rsidRPr="004A2E47" w:rsidRDefault="004A2E47" w:rsidP="004A2E47">
      <w:pPr>
        <w:spacing w:after="120" w:line="240" w:lineRule="auto"/>
        <w:rPr>
          <w:rFonts w:ascii="Arial" w:hAnsi="Arial" w:cs="Arial"/>
          <w:sz w:val="20"/>
          <w:szCs w:val="20"/>
        </w:rPr>
      </w:pPr>
      <w:r w:rsidRPr="004A2E47">
        <w:rPr>
          <w:rFonts w:ascii="Arial" w:hAnsi="Arial" w:cs="Arial"/>
          <w:sz w:val="20"/>
          <w:szCs w:val="20"/>
        </w:rPr>
        <w:t>•</w:t>
      </w:r>
      <w:r w:rsidRPr="004A2E47">
        <w:rPr>
          <w:rFonts w:ascii="Arial" w:hAnsi="Arial" w:cs="Arial"/>
          <w:sz w:val="20"/>
          <w:szCs w:val="20"/>
        </w:rPr>
        <w:tab/>
        <w:t>Aging Waiver (38)</w:t>
      </w:r>
    </w:p>
    <w:p w:rsidR="004A2E47" w:rsidRPr="004A2E47" w:rsidRDefault="004A2E47" w:rsidP="004A2E47">
      <w:pPr>
        <w:spacing w:after="120" w:line="240" w:lineRule="auto"/>
        <w:rPr>
          <w:rFonts w:ascii="Arial" w:hAnsi="Arial" w:cs="Arial"/>
          <w:sz w:val="20"/>
          <w:szCs w:val="20"/>
        </w:rPr>
      </w:pPr>
      <w:r w:rsidRPr="004A2E47">
        <w:rPr>
          <w:rFonts w:ascii="Arial" w:hAnsi="Arial" w:cs="Arial"/>
          <w:sz w:val="20"/>
          <w:szCs w:val="20"/>
        </w:rPr>
        <w:t>•</w:t>
      </w:r>
      <w:r w:rsidRPr="004A2E47">
        <w:rPr>
          <w:rFonts w:ascii="Arial" w:hAnsi="Arial" w:cs="Arial"/>
          <w:sz w:val="20"/>
          <w:szCs w:val="20"/>
        </w:rPr>
        <w:tab/>
        <w:t>Attendant Care Waiver (40)</w:t>
      </w:r>
    </w:p>
    <w:p w:rsidR="004A2E47" w:rsidRPr="004A2E47" w:rsidRDefault="004A2E47" w:rsidP="004A2E47">
      <w:pPr>
        <w:spacing w:after="120" w:line="240" w:lineRule="auto"/>
        <w:rPr>
          <w:rFonts w:ascii="Arial" w:hAnsi="Arial" w:cs="Arial"/>
          <w:sz w:val="20"/>
          <w:szCs w:val="20"/>
        </w:rPr>
      </w:pPr>
      <w:r w:rsidRPr="004A2E47">
        <w:rPr>
          <w:rFonts w:ascii="Arial" w:hAnsi="Arial" w:cs="Arial"/>
          <w:sz w:val="20"/>
          <w:szCs w:val="20"/>
        </w:rPr>
        <w:t>•</w:t>
      </w:r>
      <w:r w:rsidRPr="004A2E47">
        <w:rPr>
          <w:rFonts w:ascii="Arial" w:hAnsi="Arial" w:cs="Arial"/>
          <w:sz w:val="20"/>
          <w:szCs w:val="20"/>
        </w:rPr>
        <w:tab/>
        <w:t>Independence Waiver (42)</w:t>
      </w:r>
    </w:p>
    <w:p w:rsidR="004A2E47" w:rsidRPr="004A2E47" w:rsidRDefault="004A2E47" w:rsidP="004A2E47">
      <w:pPr>
        <w:spacing w:after="120" w:line="240" w:lineRule="auto"/>
        <w:rPr>
          <w:rFonts w:ascii="Arial" w:hAnsi="Arial" w:cs="Arial"/>
          <w:sz w:val="20"/>
          <w:szCs w:val="20"/>
        </w:rPr>
      </w:pPr>
      <w:r w:rsidRPr="004A2E47">
        <w:rPr>
          <w:rFonts w:ascii="Arial" w:hAnsi="Arial" w:cs="Arial"/>
          <w:sz w:val="20"/>
          <w:szCs w:val="20"/>
        </w:rPr>
        <w:t>•</w:t>
      </w:r>
      <w:r w:rsidRPr="004A2E47">
        <w:rPr>
          <w:rFonts w:ascii="Arial" w:hAnsi="Arial" w:cs="Arial"/>
          <w:sz w:val="20"/>
          <w:szCs w:val="20"/>
        </w:rPr>
        <w:tab/>
        <w:t>COMMCARE Waiver (59)</w:t>
      </w:r>
    </w:p>
    <w:p w:rsidR="004A2E47" w:rsidRPr="004A2E47" w:rsidRDefault="004A2E47" w:rsidP="004A2E47">
      <w:pPr>
        <w:spacing w:after="120" w:line="240" w:lineRule="auto"/>
        <w:rPr>
          <w:rFonts w:ascii="Arial" w:hAnsi="Arial" w:cs="Arial"/>
          <w:sz w:val="20"/>
          <w:szCs w:val="20"/>
        </w:rPr>
      </w:pPr>
      <w:r w:rsidRPr="004A2E47">
        <w:rPr>
          <w:rFonts w:ascii="Arial" w:hAnsi="Arial" w:cs="Arial"/>
          <w:sz w:val="20"/>
          <w:szCs w:val="20"/>
        </w:rPr>
        <w:t>•</w:t>
      </w:r>
      <w:r w:rsidRPr="004A2E47">
        <w:rPr>
          <w:rFonts w:ascii="Arial" w:hAnsi="Arial" w:cs="Arial"/>
          <w:sz w:val="20"/>
          <w:szCs w:val="20"/>
        </w:rPr>
        <w:tab/>
        <w:t>OBRA Waiver (79)</w:t>
      </w:r>
    </w:p>
    <w:p w:rsidR="004A2E47" w:rsidRPr="004A2E47" w:rsidRDefault="004A2E47" w:rsidP="004A2E47">
      <w:pPr>
        <w:spacing w:after="120" w:line="240" w:lineRule="auto"/>
        <w:rPr>
          <w:rFonts w:ascii="Arial" w:hAnsi="Arial" w:cs="Arial"/>
          <w:sz w:val="20"/>
          <w:szCs w:val="20"/>
        </w:rPr>
      </w:pPr>
    </w:p>
    <w:p w:rsidR="004A2E47" w:rsidRPr="004A2E47" w:rsidRDefault="00401F49" w:rsidP="004A2E47">
      <w:pPr>
        <w:spacing w:after="120" w:line="240" w:lineRule="auto"/>
        <w:rPr>
          <w:rFonts w:ascii="Arial" w:hAnsi="Arial" w:cs="Arial"/>
          <w:sz w:val="20"/>
          <w:szCs w:val="20"/>
        </w:rPr>
      </w:pPr>
      <w:hyperlink r:id="rId9" w:history="1">
        <w:r w:rsidR="004A2E47" w:rsidRPr="0039512E">
          <w:rPr>
            <w:rStyle w:val="Hyperlink"/>
            <w:rFonts w:ascii="Arial" w:hAnsi="Arial" w:cs="Arial"/>
            <w:sz w:val="20"/>
            <w:szCs w:val="20"/>
          </w:rPr>
          <w:t>Attachment One:   PA 162 for HCBS and Buy-In Authorization Including Mosley Text (986A)</w:t>
        </w:r>
      </w:hyperlink>
    </w:p>
    <w:p w:rsidR="004A2E47" w:rsidRDefault="00401F49" w:rsidP="004A2E47">
      <w:pPr>
        <w:spacing w:after="120" w:line="240" w:lineRule="auto"/>
        <w:rPr>
          <w:rFonts w:ascii="Arial" w:hAnsi="Arial" w:cs="Arial"/>
          <w:sz w:val="20"/>
          <w:szCs w:val="20"/>
        </w:rPr>
      </w:pPr>
      <w:hyperlink r:id="rId10" w:history="1">
        <w:r w:rsidR="004A2E47" w:rsidRPr="0039512E">
          <w:rPr>
            <w:rStyle w:val="Hyperlink"/>
            <w:rFonts w:ascii="Arial" w:hAnsi="Arial" w:cs="Arial"/>
            <w:sz w:val="20"/>
            <w:szCs w:val="20"/>
          </w:rPr>
          <w:t>Attachment Two:  PA 162 for HCBS Authorization (without Buy-In) Including Mosley Text (986B)</w:t>
        </w:r>
      </w:hyperlink>
    </w:p>
    <w:sectPr w:rsidR="004A2E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160C5"/>
    <w:multiLevelType w:val="hybridMultilevel"/>
    <w:tmpl w:val="3E524426"/>
    <w:lvl w:ilvl="0" w:tplc="55DC74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831"/>
    <w:rsid w:val="002C2B97"/>
    <w:rsid w:val="00340862"/>
    <w:rsid w:val="003531B7"/>
    <w:rsid w:val="0039512E"/>
    <w:rsid w:val="003D02B4"/>
    <w:rsid w:val="00401F49"/>
    <w:rsid w:val="0041001F"/>
    <w:rsid w:val="004A2E47"/>
    <w:rsid w:val="004C0831"/>
    <w:rsid w:val="00836FB0"/>
    <w:rsid w:val="008D2866"/>
    <w:rsid w:val="008F6A08"/>
    <w:rsid w:val="009A200F"/>
    <w:rsid w:val="00A7775E"/>
    <w:rsid w:val="00E26C30"/>
    <w:rsid w:val="00EF38FA"/>
    <w:rsid w:val="00F0180E"/>
    <w:rsid w:val="00F46B77"/>
    <w:rsid w:val="00F753A8"/>
    <w:rsid w:val="00F83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831"/>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75E"/>
    <w:pPr>
      <w:ind w:left="720"/>
      <w:contextualSpacing/>
    </w:pPr>
  </w:style>
  <w:style w:type="character" w:styleId="Hyperlink">
    <w:name w:val="Hyperlink"/>
    <w:basedOn w:val="DefaultParagraphFont"/>
    <w:uiPriority w:val="99"/>
    <w:unhideWhenUsed/>
    <w:rsid w:val="004A2E4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831"/>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75E"/>
    <w:pPr>
      <w:ind w:left="720"/>
      <w:contextualSpacing/>
    </w:pPr>
  </w:style>
  <w:style w:type="character" w:styleId="Hyperlink">
    <w:name w:val="Hyperlink"/>
    <w:basedOn w:val="DefaultParagraphFont"/>
    <w:uiPriority w:val="99"/>
    <w:unhideWhenUsed/>
    <w:rsid w:val="004A2E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ydhs/cs/groups/webcontent/documents/document/c_252391.docx" TargetMode="External"/><Relationship Id="rId3" Type="http://schemas.microsoft.com/office/2007/relationships/stylesWithEffects" Target="stylesWithEffects.xml"/><Relationship Id="rId7" Type="http://schemas.openxmlformats.org/officeDocument/2006/relationships/hyperlink" Target="http://mydhs/cs/groups/webcontent/documents/document/c_229391.doc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cushare.dpw.lcl/docushare/dsweb/View/Collection-81766"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mydhs/cs/groups/webcontent/documents/document/c_260252.pdf" TargetMode="External"/><Relationship Id="rId4" Type="http://schemas.openxmlformats.org/officeDocument/2006/relationships/settings" Target="settings.xml"/><Relationship Id="rId9" Type="http://schemas.openxmlformats.org/officeDocument/2006/relationships/hyperlink" Target="http://mydhs/cs/groups/webcontent/documents/document/c_26025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Words>
  <Characters>1804</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PA Department of Public Welfare</Company>
  <LinksUpToDate>false</LinksUpToDate>
  <CharactersWithSpaces>2116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dpwuser</dc:creator>
  <cp:lastModifiedBy>Charonn Phillips</cp:lastModifiedBy>
  <cp:revision>2</cp:revision>
  <dcterms:created xsi:type="dcterms:W3CDTF">2017-04-11T14:55:00Z</dcterms:created>
  <dcterms:modified xsi:type="dcterms:W3CDTF">2017-04-11T14:55:00Z</dcterms:modified>
</cp:coreProperties>
</file>